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color w:val="36363D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36363D"/>
          <w:kern w:val="2"/>
          <w:sz w:val="28"/>
          <w:szCs w:val="28"/>
          <w:lang w:val="en-US" w:eastAsia="zh-CN" w:bidi="ar-SA"/>
        </w:rPr>
        <w:t>附件1：</w:t>
      </w:r>
    </w:p>
    <w:p>
      <w:pPr>
        <w:pStyle w:val="2"/>
        <w:jc w:val="center"/>
        <w:rPr>
          <w:rFonts w:hint="default"/>
          <w:color w:val="36363D"/>
          <w:sz w:val="28"/>
          <w:szCs w:val="28"/>
          <w:lang w:val="en-US"/>
        </w:rPr>
      </w:pPr>
      <w:r>
        <w:rPr>
          <w:rFonts w:hint="eastAsia"/>
          <w:color w:val="36363D"/>
          <w:sz w:val="28"/>
          <w:szCs w:val="28"/>
        </w:rPr>
        <w:t>浙江工业大学本科生第二课堂</w:t>
      </w:r>
      <w:r>
        <w:rPr>
          <w:rFonts w:hint="eastAsia"/>
          <w:color w:val="36363D"/>
          <w:sz w:val="28"/>
          <w:szCs w:val="28"/>
          <w:lang w:val="en-US" w:eastAsia="zh-CN"/>
        </w:rPr>
        <w:t>创新创业实践学时计算方法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1134"/>
        <w:gridCol w:w="2002"/>
        <w:gridCol w:w="1060"/>
        <w:gridCol w:w="256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级别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结果性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公开发表论文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TOP学术期刊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以本校名义公开发表</w:t>
            </w:r>
          </w:p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第二作者及以下以第一作者得分，依次乘系数0.8，0.6（第三作者以后不予认定）后分值保留小数点后一位数字，按四舍五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法计算。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tabs>
                <w:tab w:val="left" w:pos="7920"/>
                <w:tab w:val="left" w:pos="8280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级别参照浙江工业大学人事处网站最新的期刊分类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浙江工业大学A类学术期刊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浙江工业大学B类学术期刊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以学生作为第一作者，且以本校名义公开发表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，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第二作者及以下以第一作者得分，依次乘系数0.7，0.5（第三作者以后不予认定）后分值保留小数点后一位数字，按四舍五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法计算。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其它正式出版的学术刊物、学术会议论文或内部刊物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专利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第一专利人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以授权证书为准，第二专利人及以下以专利人得分，依次乘系数0.8，0.7，0.6，0.5（第五以后均0.5）后分值保留小数点后一位数字，按四舍五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法计算。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实用新型专利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第一专利人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外观专利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第一专利人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专利转让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第一专利人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著作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撰写中英文科技专著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以出版物为准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第二作者及以下以第一作者得分依次乘系数0.7，0.5（第三作者以后不予认定）后分值保留小数点后一位数字，按四舍五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法计算。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翻译或主编科技著作，编著文学艺术类作品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第一作者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软著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软著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第一登记人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以授权证书为准，第二名及以下以第一名得分，依次乘系数0.8，0.7，0.6，0.5（第五以后均0.5）后分值保留小数点后一位数字，按四舍五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法计算。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以工研院出具的转让认定书为准。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软著转让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第一登记人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各类科技、学科竞赛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见(附件2)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8-96学时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获国际、国家、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省、校级、院级奖励文件或证书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创业竞赛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见(附件2)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8-96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获国际、国家、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省、校级、院级奖励文件或证书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通过的科研项目鉴定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见(附件2)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8-96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以本校作为第一单位的国家级、省级验收的鉴定报告为准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过程性</w:t>
            </w:r>
          </w:p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创业类培训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省级、市级以上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证书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类别由创业学院认定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校级以上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创新创业中国慕课或超星慕课结业证书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合格证书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附结业证书或者结课记录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参加创新创业学术报告、讲座、论坛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2-4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每次提供讲座心得（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字以上）。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讲座、报告、论坛需提前在创业学院备案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科研实践综合训练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参与导师科研项目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16-32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学时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/项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参与导师科研团队的科研项目研究、课题实验的以项目结题书中的参与人员名单认定，且学生需提交相应的报告并由导师签署意见，其中导师认定结果为优秀的可得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32学时，合格的为16学时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。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非培养计划规定课程教学内容,以结题报告为准。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创新创业训练项目、新苗人才计划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运河杯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国家级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立项未结题可得30%分数，结题并通过可获得100%分数。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省级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校级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ind w:left="208" w:hanging="210" w:hangingChars="1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院级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自主创业</w:t>
            </w: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入驻创业园孵化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restar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提供相关材料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由创业学院认定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正式注册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02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正式注册并且纳税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其他类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未在上述范围内包含，经学校职能部门和学院审核认定的其它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创新创业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活动或项目。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学生提供相应证明材料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需提前在创业学院备案</w:t>
            </w:r>
          </w:p>
        </w:tc>
      </w:tr>
    </w:tbl>
    <w:p>
      <w:pPr>
        <w:jc w:val="both"/>
        <w:rPr>
          <w:rFonts w:hint="eastAsia" w:ascii="仿宋" w:hAnsi="仿宋" w:eastAsia="仿宋"/>
          <w:b/>
          <w:color w:val="auto"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pPr>
        <w:jc w:val="both"/>
        <w:rPr>
          <w:rFonts w:hint="eastAsia" w:ascii="仿宋" w:hAnsi="仿宋" w:eastAsia="仿宋"/>
          <w:b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M2JiZjE2MzJiMWMxNjAyNWFmZmNkMWRlNjQyMjIifQ=="/>
  </w:docVars>
  <w:rsids>
    <w:rsidRoot w:val="085A6B12"/>
    <w:rsid w:val="0651600F"/>
    <w:rsid w:val="085A6B12"/>
    <w:rsid w:val="0A373CBD"/>
    <w:rsid w:val="1A3076F5"/>
    <w:rsid w:val="1EE82DF7"/>
    <w:rsid w:val="33CE6287"/>
    <w:rsid w:val="392B3865"/>
    <w:rsid w:val="4B57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color w:val="000000"/>
      <w:kern w:val="0"/>
      <w:sz w:val="20"/>
      <w:szCs w:val="20"/>
    </w:rPr>
  </w:style>
  <w:style w:type="paragraph" w:styleId="3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2023-10-17T01:37:00Z</dcterms:created>
  <dc:creator>王俊杰(wangjj)</dc:creator>
  <cp:lastModifiedBy>王俊杰(wangjj)</cp:lastModifiedBy>
  <dcterms:modified xsi:type="dcterms:W3CDTF">2023-10-17T02:14:51Z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3478846CED98478EB1CA7C20575BAB80_11</vt:lpwstr>
  </property>
</Properties>
</file>